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B5" w:rsidRDefault="007642B5" w:rsidP="00513817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 xml:space="preserve">Összefoglaló tájékoztató </w:t>
      </w:r>
    </w:p>
    <w:p w:rsidR="007642B5" w:rsidRDefault="007642B5" w:rsidP="00513817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7642B5" w:rsidRDefault="007642B5" w:rsidP="00513817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>a</w:t>
      </w:r>
      <w:r w:rsidRPr="00513817">
        <w:rPr>
          <w:rFonts w:ascii="Palatino Linotype" w:hAnsi="Palatino Linotype" w:cs="Palatino Linotype"/>
          <w:b/>
          <w:bCs/>
          <w:sz w:val="22"/>
          <w:szCs w:val="22"/>
        </w:rPr>
        <w:t xml:space="preserve"> rendezett munkaügyi kapcsolatok feltételeiről és igazolásának módjáról szóló </w:t>
      </w:r>
    </w:p>
    <w:p w:rsidR="007642B5" w:rsidRDefault="007642B5" w:rsidP="00513817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 w:rsidRPr="00513817">
        <w:rPr>
          <w:rFonts w:ascii="Palatino Linotype" w:hAnsi="Palatino Linotype" w:cs="Palatino Linotype"/>
          <w:b/>
          <w:bCs/>
          <w:sz w:val="22"/>
          <w:szCs w:val="22"/>
        </w:rPr>
        <w:t xml:space="preserve">1/2012. (I.26.) NGM rendelet </w:t>
      </w:r>
    </w:p>
    <w:p w:rsidR="007642B5" w:rsidRDefault="007642B5" w:rsidP="00513817">
      <w:pPr>
        <w:jc w:val="center"/>
        <w:rPr>
          <w:rFonts w:ascii="Palatino Linotype" w:hAnsi="Palatino Linotype" w:cs="Palatino Linotype"/>
          <w:b/>
          <w:bCs/>
          <w:sz w:val="22"/>
          <w:szCs w:val="22"/>
        </w:rPr>
      </w:pPr>
      <w:r>
        <w:rPr>
          <w:rFonts w:ascii="Palatino Linotype" w:hAnsi="Palatino Linotype" w:cs="Palatino Linotype"/>
          <w:b/>
          <w:bCs/>
          <w:sz w:val="22"/>
          <w:szCs w:val="22"/>
        </w:rPr>
        <w:t>támogatást kizáró feltételeiről</w:t>
      </w:r>
    </w:p>
    <w:p w:rsidR="007642B5" w:rsidRDefault="007642B5" w:rsidP="00CB2899">
      <w:pPr>
        <w:jc w:val="both"/>
        <w:rPr>
          <w:rFonts w:ascii="Palatino Linotype" w:hAnsi="Palatino Linotype" w:cs="Palatino Linotype"/>
          <w:b/>
          <w:bCs/>
          <w:sz w:val="22"/>
          <w:szCs w:val="22"/>
        </w:rPr>
      </w:pPr>
    </w:p>
    <w:p w:rsidR="007642B5" w:rsidRPr="00513817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A</w:t>
      </w:r>
      <w:r w:rsidRPr="00513817">
        <w:rPr>
          <w:rFonts w:ascii="Palatino Linotype" w:hAnsi="Palatino Linotype" w:cs="Palatino Linotype"/>
          <w:sz w:val="22"/>
          <w:szCs w:val="22"/>
        </w:rPr>
        <w:t xml:space="preserve"> könnyebb</w:t>
      </w:r>
      <w:r>
        <w:rPr>
          <w:rFonts w:ascii="Palatino Linotype" w:hAnsi="Palatino Linotype" w:cs="Palatino Linotype"/>
          <w:sz w:val="22"/>
          <w:szCs w:val="22"/>
        </w:rPr>
        <w:t xml:space="preserve"> jogalkalmazás elősegítése érdekében </w:t>
      </w:r>
      <w:r w:rsidRPr="00513817">
        <w:rPr>
          <w:rFonts w:ascii="Palatino Linotype" w:hAnsi="Palatino Linotype" w:cs="Palatino Linotype"/>
          <w:sz w:val="22"/>
          <w:szCs w:val="22"/>
        </w:rPr>
        <w:t>a következő</w:t>
      </w:r>
      <w:r>
        <w:rPr>
          <w:rFonts w:ascii="Palatino Linotype" w:hAnsi="Palatino Linotype" w:cs="Palatino Linotype"/>
          <w:sz w:val="22"/>
          <w:szCs w:val="22"/>
        </w:rPr>
        <w:t>kben szeretnénk közérthetően összefoglalni azokat az</w:t>
      </w:r>
      <w:r w:rsidRPr="00513817">
        <w:rPr>
          <w:rFonts w:ascii="Palatino Linotype" w:hAnsi="Palatino Linotype" w:cs="Palatino Linotype"/>
          <w:sz w:val="22"/>
          <w:szCs w:val="22"/>
        </w:rPr>
        <w:t xml:space="preserve"> esetek</w:t>
      </w:r>
      <w:r>
        <w:rPr>
          <w:rFonts w:ascii="Palatino Linotype" w:hAnsi="Palatino Linotype" w:cs="Palatino Linotype"/>
          <w:sz w:val="22"/>
          <w:szCs w:val="22"/>
        </w:rPr>
        <w:t xml:space="preserve">et, amikor a rendelet 4-6.§-ai alapján </w:t>
      </w:r>
      <w:r w:rsidRPr="00513817">
        <w:rPr>
          <w:rFonts w:ascii="Palatino Linotype" w:hAnsi="Palatino Linotype" w:cs="Palatino Linotype"/>
          <w:sz w:val="22"/>
          <w:szCs w:val="22"/>
        </w:rPr>
        <w:t>nem nyújtható támogatás</w:t>
      </w:r>
      <w:r>
        <w:rPr>
          <w:rFonts w:ascii="Palatino Linotype" w:hAnsi="Palatino Linotype" w:cs="Palatino Linotype"/>
          <w:sz w:val="22"/>
          <w:szCs w:val="22"/>
        </w:rPr>
        <w:t>, mert az ügyfél nem felel meg a rendezett munkaügyi kapcsolatok feltételeinek:</w:t>
      </w:r>
    </w:p>
    <w:p w:rsidR="007642B5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</w:p>
    <w:p w:rsidR="007642B5" w:rsidRPr="00CB39F1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  <w:lang w:eastAsia="en-US"/>
        </w:rPr>
        <w:t>1) N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em nyújtható támogatás</w:t>
      </w:r>
      <w:r w:rsidRPr="00CB2899">
        <w:rPr>
          <w:rFonts w:ascii="Palatino Linotype" w:hAnsi="Palatino Linotype" w:cs="Palatino Linotype"/>
          <w:sz w:val="22"/>
          <w:szCs w:val="22"/>
        </w:rPr>
        <w:t>, ha a támogatás igénylőjé</w:t>
      </w:r>
      <w:r>
        <w:rPr>
          <w:rFonts w:ascii="Palatino Linotype" w:hAnsi="Palatino Linotype" w:cs="Palatino Linotype"/>
          <w:sz w:val="22"/>
          <w:szCs w:val="22"/>
        </w:rPr>
        <w:t xml:space="preserve">t </w:t>
      </w:r>
      <w:r w:rsidRPr="00CB2899">
        <w:rPr>
          <w:rFonts w:ascii="Palatino Linotype" w:hAnsi="Palatino Linotype" w:cs="Palatino Linotype"/>
          <w:sz w:val="22"/>
          <w:szCs w:val="22"/>
        </w:rPr>
        <w:t>az adózás rendjéről szóló 2003. évi XCII. törvény (a továbbiakban: Art.) 16. § (4) bekezdés a) pontjában vagy 16. § (4a) bekezdésében, valamint az egyszerűsített foglalkoztatásról szóló 2010. évi LXXV. törvény 11. §-ában foglalt, a foglalkoztatásra irányuló jogviszony létesítésével összefüggő bejelentési kötelezettség elmulasztása miatt a munkaügyi hatóság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 xml:space="preserve"> a munkaügyi ellenőrzésről szóló 1996. évi LXXV. törvény (a továbbiakban: Met.) szerint munkaügyi bírsággal sújtotta, vagy a központi költségvetésbe történő befizetésre kötelezte</w:t>
      </w:r>
      <w:r w:rsidRPr="000B153A">
        <w:rPr>
          <w:rFonts w:ascii="Palatino Linotype" w:hAnsi="Palatino Linotype" w:cs="Palatino Linotype"/>
          <w:sz w:val="22"/>
          <w:szCs w:val="22"/>
          <w:lang w:eastAsia="en-US"/>
        </w:rPr>
        <w:t>, vagy</w:t>
      </w:r>
      <w:r>
        <w:rPr>
          <w:rFonts w:ascii="Palatino Linotype" w:hAnsi="Palatino Linotype" w:cs="Palatino Linotype"/>
          <w:sz w:val="22"/>
          <w:szCs w:val="22"/>
          <w:lang w:eastAsia="en-US"/>
        </w:rPr>
        <w:t xml:space="preserve">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az állami adóhatóság az Art. szerinti mulasztási bírsággal sújtotta, és</w:t>
      </w:r>
    </w:p>
    <w:p w:rsidR="007642B5" w:rsidRPr="00CB2899" w:rsidRDefault="007642B5" w:rsidP="00CB2899">
      <w:pPr>
        <w:autoSpaceDE w:val="0"/>
        <w:autoSpaceDN w:val="0"/>
        <w:adjustRightInd w:val="0"/>
        <w:ind w:firstLine="204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  <w:r>
        <w:rPr>
          <w:rFonts w:ascii="Palatino Linotype" w:hAnsi="Palatino Linotype" w:cs="Palatino Linotype"/>
          <w:i/>
          <w:iCs/>
          <w:sz w:val="22"/>
          <w:szCs w:val="22"/>
          <w:lang w:eastAsia="en-US"/>
        </w:rPr>
        <w:t>a</w:t>
      </w:r>
      <w:r w:rsidRPr="00CB2899">
        <w:rPr>
          <w:rFonts w:ascii="Palatino Linotype" w:hAnsi="Palatino Linotype" w:cs="Palatino Linotype"/>
          <w:i/>
          <w:iCs/>
          <w:sz w:val="22"/>
          <w:szCs w:val="22"/>
          <w:lang w:eastAsia="en-US"/>
        </w:rPr>
        <w:t xml:space="preserve">)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a munkaügyi hatóság, valamint az állami adóhatóság által kiszabott munkaügyi bírság/mulasztási bírság összege nem haladja meg a harmincezer forintot, valamint</w:t>
      </w:r>
    </w:p>
    <w:p w:rsidR="007642B5" w:rsidRPr="00CB2899" w:rsidRDefault="007642B5" w:rsidP="00CB2899">
      <w:pPr>
        <w:autoSpaceDE w:val="0"/>
        <w:autoSpaceDN w:val="0"/>
        <w:adjustRightInd w:val="0"/>
        <w:ind w:firstLine="204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  <w:r w:rsidRPr="00CB2899">
        <w:rPr>
          <w:rFonts w:ascii="Palatino Linotype" w:hAnsi="Palatino Linotype" w:cs="Palatino Linotype"/>
          <w:i/>
          <w:iCs/>
          <w:sz w:val="22"/>
          <w:szCs w:val="22"/>
          <w:lang w:eastAsia="en-US"/>
        </w:rPr>
        <w:t xml:space="preserve">b)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a jogsértés első alkalommal, egy munkavállaló vonatkozásában került megállapításra, valamint</w:t>
      </w:r>
    </w:p>
    <w:p w:rsidR="007642B5" w:rsidRPr="00CB2899" w:rsidRDefault="007642B5" w:rsidP="00CB2899">
      <w:pPr>
        <w:autoSpaceDE w:val="0"/>
        <w:autoSpaceDN w:val="0"/>
        <w:adjustRightInd w:val="0"/>
        <w:ind w:firstLine="204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  <w:r w:rsidRPr="00CB2899">
        <w:rPr>
          <w:rFonts w:ascii="Palatino Linotype" w:hAnsi="Palatino Linotype" w:cs="Palatino Linotype"/>
          <w:i/>
          <w:iCs/>
          <w:sz w:val="22"/>
          <w:szCs w:val="22"/>
          <w:lang w:eastAsia="en-US"/>
        </w:rPr>
        <w:t xml:space="preserve">c)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a jogsértést megállapító közigazgatási határozat jogerőre emelkedésétől és végrehajthatóvá válásától számított két éven belül a hatóság a korábbival azonos jogsértés elkövetését állapította meg</w:t>
      </w:r>
      <w:r>
        <w:rPr>
          <w:rFonts w:ascii="Palatino Linotype" w:hAnsi="Palatino Linotype" w:cs="Palatino Linotype"/>
          <w:sz w:val="22"/>
          <w:szCs w:val="22"/>
          <w:lang w:eastAsia="en-US"/>
        </w:rPr>
        <w:t>.</w:t>
      </w:r>
    </w:p>
    <w:p w:rsidR="007642B5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</w:p>
    <w:p w:rsidR="007642B5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2) Nem nyújtható továbbá támogatás, ha a támogatás igénylőjét</w:t>
      </w:r>
    </w:p>
    <w:p w:rsidR="007642B5" w:rsidRDefault="007642B5" w:rsidP="00CB2899">
      <w:pPr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  <w:r>
        <w:rPr>
          <w:rFonts w:ascii="Palatino Linotype" w:hAnsi="Palatino Linotype" w:cs="Palatino Linotype"/>
          <w:sz w:val="22"/>
          <w:szCs w:val="22"/>
        </w:rPr>
        <w:t>a</w:t>
      </w:r>
      <w:r w:rsidRPr="00CB2899">
        <w:rPr>
          <w:rFonts w:ascii="Palatino Linotype" w:hAnsi="Palatino Linotype" w:cs="Palatino Linotype"/>
          <w:sz w:val="22"/>
          <w:szCs w:val="22"/>
        </w:rPr>
        <w:t xml:space="preserve">) az Mt. 72. §-ában meghatározott, a munkavállalói jogalanyisággal kapcsolatos életkori feltételekre (ideértve a gyermekmunka tilalmát is) vonatkozó rendelkezések megsértése miatt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a munkaügyi hatóság aMet. szerint munkaügyi bírsággal sújtotta, vagy a központi költségvetésbe történő befizetésre kötelezte</w:t>
      </w:r>
      <w:r w:rsidRPr="00CB2899">
        <w:rPr>
          <w:rFonts w:ascii="Palatino Linotype" w:hAnsi="Palatino Linotype" w:cs="Palatino Linotype"/>
          <w:sz w:val="22"/>
          <w:szCs w:val="22"/>
        </w:rPr>
        <w:t>,</w:t>
      </w:r>
    </w:p>
    <w:p w:rsidR="007642B5" w:rsidRPr="00CB2899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b</w:t>
      </w:r>
      <w:r w:rsidRPr="00CB2899">
        <w:rPr>
          <w:rFonts w:ascii="Palatino Linotype" w:hAnsi="Palatino Linotype" w:cs="Palatino Linotype"/>
          <w:sz w:val="22"/>
          <w:szCs w:val="22"/>
        </w:rPr>
        <w:t xml:space="preserve">) jogszabályban, kollektív szerződésben vagy a miniszter által az ágazatra, alágazatra kiterjesztett kollektív szerződésben megállapított munkabér mértékére és a kifizetés határidejére vonatkozó rendelkezések megsértése miatt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a munkaügyi hatóság a Met. szerint munkaügyi bírsággal sújtotta, vagy a központi költségvetésbe történő befizetésre kötelezte</w:t>
      </w:r>
      <w:r w:rsidRPr="00CB2899">
        <w:rPr>
          <w:rFonts w:ascii="Palatino Linotype" w:hAnsi="Palatino Linotype" w:cs="Palatino Linotype"/>
          <w:sz w:val="22"/>
          <w:szCs w:val="22"/>
        </w:rPr>
        <w:t>,</w:t>
      </w:r>
      <w:r w:rsidRPr="00CB2899">
        <w:rPr>
          <w:rFonts w:ascii="Palatino Linotype" w:hAnsi="Palatino Linotype" w:cs="Palatino Linotype"/>
          <w:sz w:val="22"/>
          <w:szCs w:val="22"/>
        </w:rPr>
        <w:br/>
      </w:r>
      <w:r>
        <w:rPr>
          <w:rFonts w:ascii="Palatino Linotype" w:hAnsi="Palatino Linotype" w:cs="Palatino Linotype"/>
          <w:sz w:val="22"/>
          <w:szCs w:val="22"/>
        </w:rPr>
        <w:t>c</w:t>
      </w:r>
      <w:r w:rsidRPr="00CB2899">
        <w:rPr>
          <w:rFonts w:ascii="Palatino Linotype" w:hAnsi="Palatino Linotype" w:cs="Palatino Linotype"/>
          <w:sz w:val="22"/>
          <w:szCs w:val="22"/>
        </w:rPr>
        <w:t xml:space="preserve">) a munkaerő-kölcsönzésre vonatkozó, az Mt. 193/D. §-a (1) bekezdésének a nyilvántartásba vétellel kapcsolatos szabályainak megsértése miatt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a munkaügyi hatóság a Met. szerint munkaügyi bírsággal sújtotta, vagy a központi költségvetésbe történő befizetésre kötelezte</w:t>
      </w:r>
      <w:r w:rsidRPr="00CB2899">
        <w:rPr>
          <w:rFonts w:ascii="Palatino Linotype" w:hAnsi="Palatino Linotype" w:cs="Palatino Linotype"/>
          <w:sz w:val="22"/>
          <w:szCs w:val="22"/>
        </w:rPr>
        <w:t>, valamint</w:t>
      </w:r>
    </w:p>
    <w:p w:rsidR="007642B5" w:rsidRPr="00CB2899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d</w:t>
      </w:r>
      <w:r w:rsidRPr="00CB2899">
        <w:rPr>
          <w:rFonts w:ascii="Palatino Linotype" w:hAnsi="Palatino Linotype" w:cs="Palatino Linotype"/>
          <w:sz w:val="22"/>
          <w:szCs w:val="22"/>
        </w:rPr>
        <w:t>) az egyenlő bánásmód hatóságról és az esélyegyenlőség előmozdításáról szóló 2003. évi CXXV. törvény (továbbiakban: Ebktv.) alapján az egyenlő bánásmód követelményének megsértése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 xml:space="preserve"> miatt az egyenlő bánásmód követelményének érvényesülését ellenőrző hatóság az Ebktv. alapján bírsággal sújtotta,</w:t>
      </w:r>
    </w:p>
    <w:p w:rsidR="007642B5" w:rsidRPr="00CB2899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és a jogsértést megállapító közigazgatási határozat jogerőre emelkedésétől és végrehajthatóvá válásától számított két éven belül a hatóság a korábbival azonos jogsértés elkövetését állapította meg.</w:t>
      </w:r>
    </w:p>
    <w:p w:rsidR="007642B5" w:rsidRPr="00CB2899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</w:rPr>
      </w:pPr>
    </w:p>
    <w:p w:rsidR="007642B5" w:rsidRDefault="007642B5" w:rsidP="00B422E8">
      <w:pPr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(3) Végül nem nyújtható támogatás, ha 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 xml:space="preserve">a támogatás igénylésének időpontját megelőző két éven belül jogerőre emelkedett és végrehajthatóvá vált közigazgatási határozattal </w:t>
      </w:r>
      <w:r>
        <w:rPr>
          <w:rFonts w:ascii="Palatino Linotype" w:hAnsi="Palatino Linotype" w:cs="Palatino Linotype"/>
          <w:sz w:val="22"/>
          <w:szCs w:val="22"/>
        </w:rPr>
        <w:t>a támogatás igénylőjét</w:t>
      </w:r>
      <w:r w:rsidRPr="00CB2899">
        <w:rPr>
          <w:rFonts w:ascii="Palatino Linotype" w:hAnsi="Palatino Linotype" w:cs="Palatino Linotype"/>
          <w:sz w:val="22"/>
          <w:szCs w:val="22"/>
        </w:rPr>
        <w:t xml:space="preserve"> a harmadik országbeli állampolgár</w:t>
      </w:r>
    </w:p>
    <w:p w:rsidR="007642B5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</w:rPr>
      </w:pPr>
      <w:r w:rsidRPr="00CB2899">
        <w:rPr>
          <w:rFonts w:ascii="Palatino Linotype" w:hAnsi="Palatino Linotype" w:cs="Palatino Linotype"/>
          <w:sz w:val="22"/>
          <w:szCs w:val="22"/>
        </w:rPr>
        <w:t>a) munkavállalási engedély, illetve EU Kék Kártya, vagy</w:t>
      </w:r>
    </w:p>
    <w:p w:rsidR="007642B5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</w:rPr>
      </w:pPr>
      <w:r w:rsidRPr="00CB2899">
        <w:rPr>
          <w:rFonts w:ascii="Palatino Linotype" w:hAnsi="Palatino Linotype" w:cs="Palatino Linotype"/>
          <w:sz w:val="22"/>
          <w:szCs w:val="22"/>
        </w:rPr>
        <w:t>b) a harmadik országbeli állampolgárok beutazásáról és tartózkodásáról szóló 2007. évi II. törvény (a továbbiakban: Harmtv.) szerinti, keresőtevékenység folytatására jogosító engedély (ideértve a magas szintű képzettséget igénylő munkavállalás és tartózkodás céljából kiállított EU Kék Kártyát is)</w:t>
      </w:r>
    </w:p>
    <w:p w:rsidR="007642B5" w:rsidRPr="00CB2899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</w:rPr>
      </w:pPr>
      <w:r w:rsidRPr="00CB2899">
        <w:rPr>
          <w:rFonts w:ascii="Palatino Linotype" w:hAnsi="Palatino Linotype" w:cs="Palatino Linotype"/>
          <w:sz w:val="22"/>
          <w:szCs w:val="22"/>
        </w:rPr>
        <w:t>nélkül történő foglalkoztatása miatt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 xml:space="preserve"> a munkaügyi hatóság a Met. szerint munkaügyi bírsággal sújtotta, vagy a központi költségvetésbe történő befizetésre kötelezte, vagyaz idegenrendészeti hatóság a Harmtv. szerinti, keresőtevékenység folytatására jogosító engedély hiánya miatt közrendvédelmi bírsággal sújtotta.</w:t>
      </w:r>
    </w:p>
    <w:p w:rsidR="007642B5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  <w:r w:rsidRPr="00CB2899">
        <w:rPr>
          <w:rFonts w:ascii="Palatino Linotype" w:hAnsi="Palatino Linotype" w:cs="Palatino Linotype"/>
          <w:sz w:val="22"/>
          <w:szCs w:val="22"/>
        </w:rPr>
        <w:br/>
      </w:r>
      <w:r>
        <w:rPr>
          <w:rFonts w:ascii="Palatino Linotype" w:hAnsi="Palatino Linotype" w:cs="Palatino Linotype"/>
          <w:sz w:val="22"/>
          <w:szCs w:val="22"/>
        </w:rPr>
        <w:t>Megjegyzendő, hogy a</w:t>
      </w:r>
      <w:r w:rsidRPr="00CB2899">
        <w:rPr>
          <w:rFonts w:ascii="Palatino Linotype" w:hAnsi="Palatino Linotype" w:cs="Palatino Linotype"/>
          <w:sz w:val="22"/>
          <w:szCs w:val="22"/>
        </w:rPr>
        <w:t xml:space="preserve"> rendezett munkaügyi kapcsolatok feltételeinek vizsgálata során a jogerős közigazgatási határozattal egy tekintet alá esik</w:t>
      </w:r>
      <w:r w:rsidRPr="00CB2899">
        <w:rPr>
          <w:rFonts w:ascii="Palatino Linotype" w:hAnsi="Palatino Linotype" w:cs="Palatino Linotype"/>
          <w:sz w:val="22"/>
          <w:szCs w:val="22"/>
          <w:lang w:eastAsia="en-US"/>
        </w:rPr>
        <w:t>, ha annak bírósági felülvizsgálata iránt keresetet indítottak, és a bíróság a keresetet elutasította vagy a közigazgatási határozatot megváltoztató döntést hozott.</w:t>
      </w:r>
    </w:p>
    <w:p w:rsidR="007642B5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</w:p>
    <w:p w:rsidR="007642B5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</w:p>
    <w:p w:rsidR="007642B5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</w:p>
    <w:p w:rsidR="007642B5" w:rsidRPr="00CB2899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  <w:lang w:eastAsia="en-US"/>
        </w:rPr>
      </w:pPr>
      <w:r>
        <w:rPr>
          <w:rFonts w:ascii="Palatino Linotype" w:hAnsi="Palatino Linotype" w:cs="Palatino Linotype"/>
          <w:sz w:val="22"/>
          <w:szCs w:val="22"/>
          <w:lang w:eastAsia="en-US"/>
        </w:rPr>
        <w:t xml:space="preserve">Tatabánya, 2013. október </w:t>
      </w:r>
      <w:bookmarkStart w:id="0" w:name="_GoBack"/>
      <w:bookmarkEnd w:id="0"/>
      <w:r>
        <w:rPr>
          <w:rFonts w:ascii="Palatino Linotype" w:hAnsi="Palatino Linotype" w:cs="Palatino Linotype"/>
          <w:sz w:val="22"/>
          <w:szCs w:val="22"/>
          <w:lang w:eastAsia="en-US"/>
        </w:rPr>
        <w:t>21.</w:t>
      </w:r>
    </w:p>
    <w:p w:rsidR="007642B5" w:rsidRPr="00E86C04" w:rsidRDefault="007642B5" w:rsidP="00CB2899">
      <w:pPr>
        <w:autoSpaceDE w:val="0"/>
        <w:autoSpaceDN w:val="0"/>
        <w:adjustRightInd w:val="0"/>
        <w:jc w:val="both"/>
        <w:rPr>
          <w:rFonts w:ascii="Palatino Linotype" w:hAnsi="Palatino Linotype" w:cs="Palatino Linotype"/>
          <w:sz w:val="22"/>
          <w:szCs w:val="22"/>
        </w:rPr>
      </w:pPr>
    </w:p>
    <w:p w:rsidR="007642B5" w:rsidRDefault="007642B5" w:rsidP="00CB2899">
      <w:pPr>
        <w:jc w:val="both"/>
        <w:rPr>
          <w:rFonts w:ascii="Palatino Linotype" w:hAnsi="Palatino Linotype" w:cs="Palatino Linotype"/>
          <w:sz w:val="22"/>
          <w:szCs w:val="22"/>
        </w:rPr>
      </w:pPr>
    </w:p>
    <w:sectPr w:rsidR="007642B5" w:rsidSect="008A2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2B5" w:rsidRDefault="007642B5" w:rsidP="00E86C04">
      <w:r>
        <w:separator/>
      </w:r>
    </w:p>
  </w:endnote>
  <w:endnote w:type="continuationSeparator" w:id="1">
    <w:p w:rsidR="007642B5" w:rsidRDefault="007642B5" w:rsidP="00E86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Palatino Linotype">
    <w:altName w:val="Palatino"/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2B5" w:rsidRDefault="007642B5" w:rsidP="00E86C04">
      <w:r>
        <w:separator/>
      </w:r>
    </w:p>
  </w:footnote>
  <w:footnote w:type="continuationSeparator" w:id="1">
    <w:p w:rsidR="007642B5" w:rsidRDefault="007642B5" w:rsidP="00E86C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17250"/>
    <w:multiLevelType w:val="hybridMultilevel"/>
    <w:tmpl w:val="EEBE87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C1076"/>
    <w:multiLevelType w:val="hybridMultilevel"/>
    <w:tmpl w:val="1362D81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85D9B"/>
    <w:multiLevelType w:val="hybridMultilevel"/>
    <w:tmpl w:val="162E3DF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71F8B"/>
    <w:multiLevelType w:val="multilevel"/>
    <w:tmpl w:val="44F27782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ascii="Palatino Linotype" w:hAnsi="Palatino Linotype" w:cs="Palatino Linotype" w:hint="default"/>
        <w:b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2376" w:hanging="576"/>
      </w:pPr>
      <w:rPr>
        <w:rFonts w:ascii="Palatino Linotype" w:hAnsi="Palatino Linotype" w:cs="Palatino Linotype" w:hint="default"/>
        <w:b w:val="0"/>
        <w:bCs w:val="0"/>
        <w:i/>
        <w:iCs/>
        <w:color w:val="000000"/>
        <w:sz w:val="20"/>
        <w:szCs w:val="2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080" w:hanging="720"/>
      </w:pPr>
      <w:rPr>
        <w:rFonts w:ascii="Palatino Linotype" w:hAnsi="Palatino Linotype" w:cs="Palatino Linotype" w:hint="default"/>
        <w:b w:val="0"/>
        <w:bCs w:val="0"/>
        <w:i w:val="0"/>
        <w:iCs w:val="0"/>
        <w:color w:val="00000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785D6CA8"/>
    <w:multiLevelType w:val="hybridMultilevel"/>
    <w:tmpl w:val="0A54AFE6"/>
    <w:lvl w:ilvl="0" w:tplc="F82EA6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606"/>
    <w:rsid w:val="00002F26"/>
    <w:rsid w:val="00065170"/>
    <w:rsid w:val="00090F5F"/>
    <w:rsid w:val="000B14CA"/>
    <w:rsid w:val="000B153A"/>
    <w:rsid w:val="00103453"/>
    <w:rsid w:val="001B33E3"/>
    <w:rsid w:val="001F7334"/>
    <w:rsid w:val="00243501"/>
    <w:rsid w:val="00246580"/>
    <w:rsid w:val="00433038"/>
    <w:rsid w:val="00513817"/>
    <w:rsid w:val="00550D17"/>
    <w:rsid w:val="006A27A5"/>
    <w:rsid w:val="00702630"/>
    <w:rsid w:val="00707868"/>
    <w:rsid w:val="007642B5"/>
    <w:rsid w:val="00792C68"/>
    <w:rsid w:val="007A5606"/>
    <w:rsid w:val="007A6196"/>
    <w:rsid w:val="00887F63"/>
    <w:rsid w:val="008A2E2B"/>
    <w:rsid w:val="008F0126"/>
    <w:rsid w:val="00955247"/>
    <w:rsid w:val="00A1402E"/>
    <w:rsid w:val="00A73963"/>
    <w:rsid w:val="00A946C8"/>
    <w:rsid w:val="00B422E8"/>
    <w:rsid w:val="00B63388"/>
    <w:rsid w:val="00BB6695"/>
    <w:rsid w:val="00C8055B"/>
    <w:rsid w:val="00CB2899"/>
    <w:rsid w:val="00CB39F1"/>
    <w:rsid w:val="00D30F72"/>
    <w:rsid w:val="00D319C6"/>
    <w:rsid w:val="00D822A5"/>
    <w:rsid w:val="00D939EE"/>
    <w:rsid w:val="00E36636"/>
    <w:rsid w:val="00E424DA"/>
    <w:rsid w:val="00E86C04"/>
    <w:rsid w:val="00E92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1B33E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33E3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33E3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B33E3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33E3"/>
    <w:pPr>
      <w:keepNext/>
      <w:numPr>
        <w:ilvl w:val="3"/>
        <w:numId w:val="9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33E3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33E3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B33E3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B33E3"/>
    <w:pPr>
      <w:numPr>
        <w:ilvl w:val="7"/>
        <w:numId w:val="9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1B33E3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6196"/>
    <w:rPr>
      <w:rFonts w:ascii="Arial" w:hAnsi="Arial" w:cs="Arial"/>
      <w:b/>
      <w:bCs/>
      <w:kern w:val="32"/>
      <w:sz w:val="32"/>
      <w:szCs w:val="32"/>
      <w:lang w:eastAsia="hu-H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33E3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A6196"/>
    <w:rPr>
      <w:rFonts w:ascii="Arial" w:hAnsi="Arial" w:cs="Arial"/>
      <w:b/>
      <w:bCs/>
      <w:sz w:val="26"/>
      <w:szCs w:val="26"/>
      <w:lang w:eastAsia="hu-H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A6196"/>
    <w:rPr>
      <w:b/>
      <w:bCs/>
      <w:sz w:val="28"/>
      <w:szCs w:val="28"/>
      <w:lang w:eastAsia="hu-H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A6196"/>
    <w:rPr>
      <w:b/>
      <w:bCs/>
      <w:i/>
      <w:iCs/>
      <w:sz w:val="26"/>
      <w:szCs w:val="26"/>
      <w:lang w:eastAsia="hu-H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A6196"/>
    <w:rPr>
      <w:b/>
      <w:bCs/>
      <w:sz w:val="22"/>
      <w:szCs w:val="22"/>
      <w:lang w:eastAsia="hu-H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D822A5"/>
    <w:rPr>
      <w:sz w:val="24"/>
      <w:szCs w:val="24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A6196"/>
    <w:rPr>
      <w:i/>
      <w:iCs/>
      <w:sz w:val="24"/>
      <w:szCs w:val="24"/>
      <w:lang w:eastAsia="hu-H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A6196"/>
    <w:rPr>
      <w:rFonts w:ascii="Arial" w:hAnsi="Arial" w:cs="Arial"/>
      <w:sz w:val="22"/>
      <w:szCs w:val="22"/>
      <w:lang w:eastAsia="hu-HU"/>
    </w:rPr>
  </w:style>
  <w:style w:type="paragraph" w:styleId="Title">
    <w:name w:val="Title"/>
    <w:basedOn w:val="Normal"/>
    <w:link w:val="TitleChar"/>
    <w:uiPriority w:val="99"/>
    <w:qFormat/>
    <w:rsid w:val="001B33E3"/>
    <w:pPr>
      <w:jc w:val="center"/>
    </w:pPr>
    <w:rPr>
      <w:rFonts w:ascii="Arial Narrow" w:hAnsi="Arial Narrow" w:cs="Arial Narrow"/>
      <w:b/>
      <w:bCs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D822A5"/>
    <w:rPr>
      <w:rFonts w:ascii="Arial Narrow" w:hAnsi="Arial Narrow" w:cs="Arial Narrow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1B33E3"/>
    <w:pPr>
      <w:jc w:val="center"/>
    </w:pPr>
    <w:rPr>
      <w:spacing w:val="3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B33E3"/>
    <w:rPr>
      <w:spacing w:val="30"/>
      <w:sz w:val="32"/>
      <w:szCs w:val="32"/>
    </w:rPr>
  </w:style>
  <w:style w:type="paragraph" w:styleId="TOCHeading">
    <w:name w:val="TOC Heading"/>
    <w:basedOn w:val="Heading1"/>
    <w:next w:val="Normal"/>
    <w:uiPriority w:val="99"/>
    <w:qFormat/>
    <w:rsid w:val="00D822A5"/>
    <w:pPr>
      <w:numPr>
        <w:numId w:val="0"/>
      </w:numPr>
      <w:outlineLvl w:val="9"/>
    </w:pPr>
    <w:rPr>
      <w:rFonts w:ascii="Cambria" w:hAnsi="Cambria" w:cs="Cambria"/>
    </w:rPr>
  </w:style>
  <w:style w:type="character" w:styleId="Emphasis">
    <w:name w:val="Emphasis"/>
    <w:basedOn w:val="DefaultParagraphFont"/>
    <w:uiPriority w:val="99"/>
    <w:qFormat/>
    <w:rsid w:val="001B33E3"/>
    <w:rPr>
      <w:i/>
      <w:iCs/>
    </w:rPr>
  </w:style>
  <w:style w:type="paragraph" w:styleId="ListParagraph">
    <w:name w:val="List Paragraph"/>
    <w:basedOn w:val="Normal"/>
    <w:uiPriority w:val="99"/>
    <w:qFormat/>
    <w:rsid w:val="001B33E3"/>
    <w:pPr>
      <w:ind w:left="708"/>
    </w:pPr>
  </w:style>
  <w:style w:type="paragraph" w:styleId="Quote">
    <w:name w:val="Quote"/>
    <w:basedOn w:val="Normal"/>
    <w:next w:val="Normal"/>
    <w:link w:val="QuoteChar"/>
    <w:uiPriority w:val="99"/>
    <w:qFormat/>
    <w:rsid w:val="001B33E3"/>
    <w:rPr>
      <w:i/>
      <w:iCs/>
      <w:color w:val="000000"/>
      <w:lang w:eastAsia="en-US"/>
    </w:rPr>
  </w:style>
  <w:style w:type="character" w:customStyle="1" w:styleId="QuoteChar">
    <w:name w:val="Quote Char"/>
    <w:basedOn w:val="DefaultParagraphFont"/>
    <w:link w:val="Quote"/>
    <w:uiPriority w:val="99"/>
    <w:locked/>
    <w:rsid w:val="001B33E3"/>
    <w:rPr>
      <w:i/>
      <w:i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5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606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542</Words>
  <Characters>3742</Characters>
  <Application>Microsoft Office Outlook</Application>
  <DocSecurity>0</DocSecurity>
  <Lines>0</Lines>
  <Paragraphs>0</Paragraphs>
  <ScaleCrop>false</ScaleCrop>
  <Company>Foglalkoztatási és Szocialis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Összefoglaló tájékoztató </dc:title>
  <dc:subject/>
  <dc:creator>erdosh</dc:creator>
  <cp:keywords/>
  <dc:description/>
  <cp:lastModifiedBy>Rendszergazda</cp:lastModifiedBy>
  <cp:revision>2</cp:revision>
  <cp:lastPrinted>2013-10-01T10:33:00Z</cp:lastPrinted>
  <dcterms:created xsi:type="dcterms:W3CDTF">2013-10-22T12:23:00Z</dcterms:created>
  <dcterms:modified xsi:type="dcterms:W3CDTF">2013-10-22T12:23:00Z</dcterms:modified>
</cp:coreProperties>
</file>